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B1" w:rsidRPr="003F221D" w:rsidRDefault="00D939B1" w:rsidP="00D939B1">
      <w:pPr>
        <w:ind w:right="2610"/>
        <w:jc w:val="center"/>
        <w:rPr>
          <w:b/>
        </w:rPr>
      </w:pPr>
      <w:r w:rsidRPr="003F221D">
        <w:rPr>
          <w:b/>
        </w:rPr>
        <w:t>Truro City Council</w:t>
      </w:r>
    </w:p>
    <w:p w:rsidR="00D939B1" w:rsidRPr="00DA7CEE" w:rsidRDefault="00D939B1" w:rsidP="00D939B1">
      <w:pPr>
        <w:pStyle w:val="Title"/>
        <w:rPr>
          <w:rFonts w:ascii="Times New Roman" w:hAnsi="Times New Roman"/>
          <w:szCs w:val="24"/>
        </w:rPr>
      </w:pPr>
      <w:r w:rsidRPr="00DA7CEE">
        <w:rPr>
          <w:rFonts w:ascii="Times New Roman" w:hAnsi="Times New Roman"/>
          <w:b/>
          <w:szCs w:val="24"/>
        </w:rPr>
        <w:t>March 4</w:t>
      </w:r>
      <w:r w:rsidRPr="00DA7CEE">
        <w:rPr>
          <w:rFonts w:ascii="Times New Roman" w:hAnsi="Times New Roman"/>
          <w:b/>
          <w:szCs w:val="24"/>
          <w:vertAlign w:val="superscript"/>
        </w:rPr>
        <w:t>th</w:t>
      </w:r>
      <w:proofErr w:type="gramStart"/>
      <w:r w:rsidR="008E2183" w:rsidRPr="00DA7CEE">
        <w:rPr>
          <w:rFonts w:ascii="Times New Roman" w:hAnsi="Times New Roman"/>
          <w:b/>
          <w:szCs w:val="24"/>
        </w:rPr>
        <w:t>,</w:t>
      </w:r>
      <w:r w:rsidRPr="00DA7CEE">
        <w:rPr>
          <w:rFonts w:ascii="Times New Roman" w:hAnsi="Times New Roman"/>
          <w:b/>
          <w:szCs w:val="24"/>
        </w:rPr>
        <w:t xml:space="preserve">  2019</w:t>
      </w:r>
      <w:proofErr w:type="gramEnd"/>
      <w:r w:rsidRPr="00DA7CEE">
        <w:rPr>
          <w:rFonts w:ascii="Times New Roman" w:hAnsi="Times New Roman"/>
          <w:szCs w:val="24"/>
        </w:rPr>
        <w:t xml:space="preserve">  </w:t>
      </w:r>
    </w:p>
    <w:p w:rsidR="00D939B1" w:rsidRPr="00DA7CEE" w:rsidRDefault="00D939B1" w:rsidP="00D939B1">
      <w:pPr>
        <w:ind w:right="2610"/>
        <w:jc w:val="both"/>
        <w:rPr>
          <w:sz w:val="24"/>
          <w:szCs w:val="24"/>
        </w:rPr>
      </w:pPr>
      <w:r w:rsidRPr="00DA7CEE">
        <w:rPr>
          <w:sz w:val="24"/>
          <w:szCs w:val="24"/>
        </w:rPr>
        <w:t xml:space="preserve">  Mayor Sarah Darst opened the Public Hearing at 6:00pm for </w:t>
      </w:r>
      <w:proofErr w:type="gramStart"/>
      <w:r w:rsidRPr="00DA7CEE">
        <w:rPr>
          <w:sz w:val="24"/>
          <w:szCs w:val="24"/>
        </w:rPr>
        <w:t>the  FYE20</w:t>
      </w:r>
      <w:proofErr w:type="gramEnd"/>
      <w:r w:rsidRPr="00DA7CEE">
        <w:rPr>
          <w:sz w:val="24"/>
          <w:szCs w:val="24"/>
        </w:rPr>
        <w:t xml:space="preserve"> Annual Budget. There was no written or oral input for the budget. The public hearing was closed at 6:01pm. </w:t>
      </w:r>
    </w:p>
    <w:p w:rsidR="00D939B1" w:rsidRPr="00DA7CEE" w:rsidRDefault="00D939B1" w:rsidP="00D939B1">
      <w:pPr>
        <w:ind w:right="2610"/>
        <w:jc w:val="both"/>
        <w:rPr>
          <w:sz w:val="24"/>
          <w:szCs w:val="24"/>
        </w:rPr>
      </w:pPr>
      <w:r w:rsidRPr="00DA7CEE">
        <w:rPr>
          <w:sz w:val="24"/>
          <w:szCs w:val="24"/>
        </w:rPr>
        <w:t xml:space="preserve">Mayor Darst opened the public hearing for the proposed plans, specifications, and estimates for the cost for the wastewater treatment facility aeration and electrical modifications project. </w:t>
      </w:r>
    </w:p>
    <w:p w:rsidR="00D939B1" w:rsidRPr="00DA7CEE" w:rsidRDefault="00D939B1" w:rsidP="00D939B1">
      <w:pPr>
        <w:ind w:right="2610"/>
        <w:jc w:val="both"/>
        <w:rPr>
          <w:sz w:val="24"/>
          <w:szCs w:val="24"/>
        </w:rPr>
      </w:pPr>
      <w:r w:rsidRPr="00DA7CEE">
        <w:rPr>
          <w:sz w:val="24"/>
          <w:szCs w:val="24"/>
        </w:rPr>
        <w:t xml:space="preserve">The Mayor presided and the roll was called showing the following members of the Council present, Michell Sciarrotta, Jason Phillips, Lyndsay Cannoy, and Julie Ostrander. </w:t>
      </w:r>
      <w:proofErr w:type="gramStart"/>
      <w:r w:rsidRPr="00DA7CEE">
        <w:rPr>
          <w:sz w:val="24"/>
          <w:szCs w:val="24"/>
        </w:rPr>
        <w:t>Absent; Laura Baker.</w:t>
      </w:r>
      <w:proofErr w:type="gramEnd"/>
    </w:p>
    <w:p w:rsidR="00D939B1" w:rsidRPr="00DA7CEE" w:rsidRDefault="00D939B1" w:rsidP="00D939B1">
      <w:pPr>
        <w:ind w:right="2610"/>
        <w:jc w:val="both"/>
        <w:rPr>
          <w:sz w:val="24"/>
          <w:szCs w:val="24"/>
        </w:rPr>
      </w:pPr>
      <w:r w:rsidRPr="00DA7CEE">
        <w:rPr>
          <w:sz w:val="24"/>
          <w:szCs w:val="24"/>
        </w:rPr>
        <w:t xml:space="preserve"> Council member Cannoy introduced and Phillips seconded      Resolution 2019_07 approving plans, and specifications, for the project. </w:t>
      </w:r>
      <w:proofErr w:type="gramStart"/>
      <w:r w:rsidRPr="00DA7CEE">
        <w:rPr>
          <w:sz w:val="24"/>
          <w:szCs w:val="24"/>
        </w:rPr>
        <w:t>On roll call; Ayes, Ostrander, Cannoy, Sciarrotta and Phillips.</w:t>
      </w:r>
      <w:proofErr w:type="gramEnd"/>
      <w:r w:rsidRPr="00DA7CEE">
        <w:rPr>
          <w:sz w:val="24"/>
          <w:szCs w:val="24"/>
        </w:rPr>
        <w:t xml:space="preserve"> </w:t>
      </w:r>
      <w:proofErr w:type="gramStart"/>
      <w:r w:rsidRPr="00DA7CEE">
        <w:rPr>
          <w:sz w:val="24"/>
          <w:szCs w:val="24"/>
        </w:rPr>
        <w:t>Absent; Baker.</w:t>
      </w:r>
      <w:proofErr w:type="gramEnd"/>
      <w:r w:rsidRPr="00DA7CEE">
        <w:rPr>
          <w:sz w:val="24"/>
          <w:szCs w:val="24"/>
        </w:rPr>
        <w:t xml:space="preserve"> Resolution passed.</w:t>
      </w:r>
    </w:p>
    <w:p w:rsidR="00D939B1" w:rsidRPr="00DA7CEE" w:rsidRDefault="00D939B1" w:rsidP="00D939B1">
      <w:pPr>
        <w:ind w:right="2610"/>
        <w:jc w:val="both"/>
        <w:rPr>
          <w:sz w:val="24"/>
          <w:szCs w:val="24"/>
        </w:rPr>
      </w:pPr>
      <w:r w:rsidRPr="00DA7CEE">
        <w:rPr>
          <w:sz w:val="24"/>
          <w:szCs w:val="24"/>
        </w:rPr>
        <w:t xml:space="preserve"> The Mayor </w:t>
      </w:r>
      <w:proofErr w:type="gramStart"/>
      <w:r w:rsidRPr="00DA7CEE">
        <w:rPr>
          <w:sz w:val="24"/>
          <w:szCs w:val="24"/>
        </w:rPr>
        <w:t>announced  the</w:t>
      </w:r>
      <w:proofErr w:type="gramEnd"/>
      <w:r w:rsidRPr="00DA7CEE">
        <w:rPr>
          <w:sz w:val="24"/>
          <w:szCs w:val="24"/>
        </w:rPr>
        <w:t xml:space="preserve"> bids for the construction of the Wastewater Treatment Facility. </w:t>
      </w:r>
      <w:proofErr w:type="gramStart"/>
      <w:r w:rsidRPr="00DA7CEE">
        <w:rPr>
          <w:sz w:val="24"/>
          <w:szCs w:val="24"/>
        </w:rPr>
        <w:t xml:space="preserve">Biermann Electric $157,000.00, CL Carroll $174,950.00, and </w:t>
      </w:r>
      <w:proofErr w:type="spellStart"/>
      <w:r w:rsidRPr="00DA7CEE">
        <w:rPr>
          <w:sz w:val="24"/>
          <w:szCs w:val="24"/>
        </w:rPr>
        <w:t>Midturn</w:t>
      </w:r>
      <w:proofErr w:type="spellEnd"/>
      <w:r w:rsidRPr="00DA7CEE">
        <w:rPr>
          <w:sz w:val="24"/>
          <w:szCs w:val="24"/>
        </w:rPr>
        <w:t xml:space="preserve"> Inc $199,500.00.</w:t>
      </w:r>
      <w:proofErr w:type="gramEnd"/>
      <w:r w:rsidRPr="00DA7CEE">
        <w:rPr>
          <w:sz w:val="24"/>
          <w:szCs w:val="24"/>
        </w:rPr>
        <w:t xml:space="preserve">  </w:t>
      </w:r>
    </w:p>
    <w:p w:rsidR="00D939B1" w:rsidRPr="00DA7CEE" w:rsidRDefault="00D939B1" w:rsidP="00D939B1">
      <w:pPr>
        <w:ind w:right="2610"/>
        <w:jc w:val="both"/>
        <w:rPr>
          <w:sz w:val="24"/>
          <w:szCs w:val="24"/>
        </w:rPr>
      </w:pPr>
      <w:r w:rsidRPr="00DA7CEE">
        <w:rPr>
          <w:sz w:val="24"/>
          <w:szCs w:val="24"/>
        </w:rPr>
        <w:t xml:space="preserve"> </w:t>
      </w:r>
      <w:proofErr w:type="gramStart"/>
      <w:r w:rsidRPr="00DA7CEE">
        <w:rPr>
          <w:sz w:val="24"/>
          <w:szCs w:val="24"/>
        </w:rPr>
        <w:t>Motion by Sciarrotta, seconded by Ostrander to approve Resolution 2019_08, awarding Biermann Electric the project.</w:t>
      </w:r>
      <w:proofErr w:type="gramEnd"/>
      <w:r w:rsidRPr="00DA7CEE">
        <w:rPr>
          <w:sz w:val="24"/>
          <w:szCs w:val="24"/>
        </w:rPr>
        <w:t xml:space="preserve"> </w:t>
      </w:r>
      <w:proofErr w:type="gramStart"/>
      <w:r w:rsidRPr="00DA7CEE">
        <w:rPr>
          <w:sz w:val="24"/>
          <w:szCs w:val="24"/>
        </w:rPr>
        <w:t>On roll call; Phillips, Ostrander, Cannoy, and Sciarrotta.</w:t>
      </w:r>
      <w:proofErr w:type="gramEnd"/>
      <w:r w:rsidRPr="00DA7CEE">
        <w:rPr>
          <w:sz w:val="24"/>
          <w:szCs w:val="24"/>
        </w:rPr>
        <w:t xml:space="preserve"> </w:t>
      </w:r>
      <w:proofErr w:type="gramStart"/>
      <w:r w:rsidRPr="00DA7CEE">
        <w:rPr>
          <w:sz w:val="24"/>
          <w:szCs w:val="24"/>
        </w:rPr>
        <w:t>Absent; Baker.</w:t>
      </w:r>
      <w:proofErr w:type="gramEnd"/>
      <w:r w:rsidRPr="00DA7CEE">
        <w:rPr>
          <w:sz w:val="24"/>
          <w:szCs w:val="24"/>
        </w:rPr>
        <w:t xml:space="preserve"> Resolution passed. </w:t>
      </w:r>
    </w:p>
    <w:p w:rsidR="00D939B1" w:rsidRPr="00DA7CEE" w:rsidRDefault="00D939B1" w:rsidP="00D939B1">
      <w:pPr>
        <w:ind w:right="2610"/>
        <w:jc w:val="both"/>
        <w:rPr>
          <w:sz w:val="24"/>
          <w:szCs w:val="24"/>
        </w:rPr>
      </w:pPr>
      <w:r w:rsidRPr="00DA7CEE">
        <w:rPr>
          <w:sz w:val="24"/>
          <w:szCs w:val="24"/>
        </w:rPr>
        <w:t xml:space="preserve">Darst called the regular meeting to order at 6:06pm. </w:t>
      </w:r>
    </w:p>
    <w:p w:rsidR="00D939B1" w:rsidRPr="00DA7CEE" w:rsidRDefault="00D939B1" w:rsidP="00D939B1">
      <w:pPr>
        <w:ind w:right="2610"/>
        <w:jc w:val="both"/>
        <w:rPr>
          <w:sz w:val="24"/>
          <w:szCs w:val="24"/>
        </w:rPr>
      </w:pPr>
      <w:proofErr w:type="gramStart"/>
      <w:r w:rsidRPr="00DA7CEE">
        <w:rPr>
          <w:sz w:val="24"/>
          <w:szCs w:val="24"/>
        </w:rPr>
        <w:t>Motion by Sciarrotta seconded by Phillips, to approve the agenda.</w:t>
      </w:r>
      <w:proofErr w:type="gramEnd"/>
      <w:r w:rsidRPr="00DA7CEE">
        <w:rPr>
          <w:sz w:val="24"/>
          <w:szCs w:val="24"/>
        </w:rPr>
        <w:t xml:space="preserve"> Motion carried.</w:t>
      </w:r>
    </w:p>
    <w:p w:rsidR="00D939B1" w:rsidRPr="00DA7CEE" w:rsidRDefault="00D939B1" w:rsidP="00D939B1">
      <w:pPr>
        <w:ind w:right="2610"/>
        <w:jc w:val="both"/>
        <w:rPr>
          <w:sz w:val="24"/>
          <w:szCs w:val="24"/>
        </w:rPr>
      </w:pPr>
      <w:r w:rsidRPr="00DA7CEE">
        <w:rPr>
          <w:sz w:val="24"/>
          <w:szCs w:val="24"/>
        </w:rPr>
        <w:t xml:space="preserve">  No safety concerns were reported for the month of Feb.</w:t>
      </w:r>
    </w:p>
    <w:p w:rsidR="00D939B1" w:rsidRPr="00DA7CEE" w:rsidRDefault="00D939B1" w:rsidP="00D939B1">
      <w:pPr>
        <w:ind w:right="2610"/>
        <w:jc w:val="both"/>
        <w:rPr>
          <w:sz w:val="24"/>
          <w:szCs w:val="24"/>
        </w:rPr>
      </w:pPr>
      <w:r w:rsidRPr="00DA7CEE">
        <w:rPr>
          <w:sz w:val="24"/>
          <w:szCs w:val="24"/>
        </w:rPr>
        <w:t xml:space="preserve">  Special guests: Engineer </w:t>
      </w:r>
      <w:r w:rsidR="00E540C1" w:rsidRPr="00DA7CEE">
        <w:rPr>
          <w:sz w:val="24"/>
          <w:szCs w:val="24"/>
        </w:rPr>
        <w:t xml:space="preserve">Andrew </w:t>
      </w:r>
      <w:proofErr w:type="spellStart"/>
      <w:r w:rsidR="00E540C1" w:rsidRPr="00DA7CEE">
        <w:rPr>
          <w:sz w:val="24"/>
          <w:szCs w:val="24"/>
        </w:rPr>
        <w:t>Inhelder</w:t>
      </w:r>
      <w:proofErr w:type="spellEnd"/>
      <w:r w:rsidR="00E540C1" w:rsidRPr="00DA7CEE">
        <w:rPr>
          <w:sz w:val="24"/>
          <w:szCs w:val="24"/>
        </w:rPr>
        <w:t>,</w:t>
      </w:r>
      <w:r w:rsidR="00E540C1" w:rsidRPr="00DA7CEE">
        <w:rPr>
          <w:color w:val="1F497D"/>
          <w:sz w:val="24"/>
          <w:szCs w:val="24"/>
        </w:rPr>
        <w:t xml:space="preserve"> </w:t>
      </w:r>
      <w:r w:rsidR="00E540C1" w:rsidRPr="00DA7CEE">
        <w:rPr>
          <w:sz w:val="24"/>
          <w:szCs w:val="24"/>
        </w:rPr>
        <w:t>Sheriff</w:t>
      </w:r>
      <w:r w:rsidRPr="00DA7CEE">
        <w:rPr>
          <w:sz w:val="24"/>
          <w:szCs w:val="24"/>
        </w:rPr>
        <w:t xml:space="preserve"> Jason Barnes </w:t>
      </w:r>
      <w:proofErr w:type="spellStart"/>
      <w:r w:rsidRPr="00DA7CEE">
        <w:rPr>
          <w:sz w:val="24"/>
          <w:szCs w:val="24"/>
        </w:rPr>
        <w:t>Heith</w:t>
      </w:r>
      <w:proofErr w:type="spellEnd"/>
      <w:r w:rsidRPr="00DA7CEE">
        <w:rPr>
          <w:sz w:val="24"/>
          <w:szCs w:val="24"/>
        </w:rPr>
        <w:t xml:space="preserve"> </w:t>
      </w:r>
      <w:proofErr w:type="spellStart"/>
      <w:r w:rsidRPr="00DA7CEE">
        <w:rPr>
          <w:sz w:val="24"/>
          <w:szCs w:val="24"/>
        </w:rPr>
        <w:t>Hockenberry</w:t>
      </w:r>
      <w:proofErr w:type="spellEnd"/>
      <w:r w:rsidRPr="00DA7CEE">
        <w:rPr>
          <w:sz w:val="24"/>
          <w:szCs w:val="24"/>
        </w:rPr>
        <w:t xml:space="preserve"> and Chief Terry Stills were present.  </w:t>
      </w:r>
    </w:p>
    <w:p w:rsidR="00D939B1" w:rsidRPr="00DA7CEE" w:rsidRDefault="00D939B1" w:rsidP="00D939B1">
      <w:pPr>
        <w:ind w:right="2610"/>
        <w:jc w:val="both"/>
        <w:rPr>
          <w:sz w:val="24"/>
          <w:szCs w:val="24"/>
        </w:rPr>
      </w:pPr>
      <w:r w:rsidRPr="00DA7CEE">
        <w:rPr>
          <w:sz w:val="24"/>
          <w:szCs w:val="24"/>
        </w:rPr>
        <w:t xml:space="preserve">Council woman Laura Baker joined the meeting at 6:10pm.  </w:t>
      </w:r>
    </w:p>
    <w:p w:rsidR="00D939B1" w:rsidRPr="00DA7CEE" w:rsidRDefault="00D939B1" w:rsidP="00D939B1">
      <w:pPr>
        <w:tabs>
          <w:tab w:val="left" w:pos="180"/>
        </w:tabs>
        <w:ind w:right="2610"/>
        <w:jc w:val="both"/>
        <w:rPr>
          <w:sz w:val="24"/>
          <w:szCs w:val="24"/>
        </w:rPr>
      </w:pPr>
      <w:r w:rsidRPr="00DA7CEE">
        <w:rPr>
          <w:sz w:val="24"/>
          <w:szCs w:val="24"/>
        </w:rPr>
        <w:t>Barnes reported Truro had 37.41 patrol hours, with 1 arrest, and 4 traffic stops in February.</w:t>
      </w:r>
    </w:p>
    <w:p w:rsidR="00D939B1" w:rsidRPr="00DA7CEE" w:rsidRDefault="00D939B1" w:rsidP="00D939B1">
      <w:pPr>
        <w:tabs>
          <w:tab w:val="left" w:pos="180"/>
        </w:tabs>
        <w:ind w:right="2610"/>
        <w:jc w:val="both"/>
        <w:rPr>
          <w:sz w:val="24"/>
          <w:szCs w:val="24"/>
        </w:rPr>
      </w:pPr>
      <w:r w:rsidRPr="00DA7CEE">
        <w:rPr>
          <w:sz w:val="24"/>
          <w:szCs w:val="24"/>
        </w:rPr>
        <w:t xml:space="preserve">Chief Terry Stills gave the Truro Fire and Rescue reports; 4 EMS calls, with </w:t>
      </w:r>
      <w:proofErr w:type="gramStart"/>
      <w:r w:rsidRPr="00DA7CEE">
        <w:rPr>
          <w:sz w:val="24"/>
          <w:szCs w:val="24"/>
        </w:rPr>
        <w:t>no  transport</w:t>
      </w:r>
      <w:r w:rsidR="00D05F73" w:rsidRPr="00DA7CEE">
        <w:rPr>
          <w:sz w:val="24"/>
          <w:szCs w:val="24"/>
        </w:rPr>
        <w:t>s</w:t>
      </w:r>
      <w:proofErr w:type="gramEnd"/>
      <w:r w:rsidRPr="00DA7CEE">
        <w:rPr>
          <w:sz w:val="24"/>
          <w:szCs w:val="24"/>
        </w:rPr>
        <w:t xml:space="preserve"> in the month of February. </w:t>
      </w:r>
    </w:p>
    <w:p w:rsidR="00D939B1" w:rsidRPr="00DA7CEE" w:rsidRDefault="00D939B1" w:rsidP="00D939B1">
      <w:pPr>
        <w:ind w:right="2610"/>
        <w:jc w:val="both"/>
        <w:rPr>
          <w:sz w:val="24"/>
          <w:szCs w:val="24"/>
        </w:rPr>
      </w:pPr>
      <w:proofErr w:type="gramStart"/>
      <w:r w:rsidRPr="00DA7CEE">
        <w:rPr>
          <w:sz w:val="24"/>
          <w:szCs w:val="24"/>
        </w:rPr>
        <w:t>Motion by Sciarrotta, seconded by Cannoy to approve Resolution 2019_05 for the FYE20 budget.</w:t>
      </w:r>
      <w:proofErr w:type="gramEnd"/>
      <w:r w:rsidRPr="00DA7CEE">
        <w:rPr>
          <w:sz w:val="24"/>
          <w:szCs w:val="24"/>
        </w:rPr>
        <w:t xml:space="preserve"> </w:t>
      </w:r>
      <w:proofErr w:type="gramStart"/>
      <w:r w:rsidRPr="00DA7CEE">
        <w:rPr>
          <w:sz w:val="24"/>
          <w:szCs w:val="24"/>
        </w:rPr>
        <w:t>On roll call; Ayes- Phillips, Ostrander, Sciarrotta, Cannoy and Baker.</w:t>
      </w:r>
      <w:proofErr w:type="gramEnd"/>
      <w:r w:rsidRPr="00DA7CEE">
        <w:rPr>
          <w:sz w:val="24"/>
          <w:szCs w:val="24"/>
        </w:rPr>
        <w:t xml:space="preserve"> Resolution passed.</w:t>
      </w:r>
    </w:p>
    <w:p w:rsidR="00D939B1" w:rsidRPr="00DA7CEE" w:rsidRDefault="00D939B1" w:rsidP="00D939B1">
      <w:pPr>
        <w:ind w:right="2610"/>
        <w:jc w:val="both"/>
        <w:rPr>
          <w:sz w:val="24"/>
          <w:szCs w:val="24"/>
        </w:rPr>
      </w:pPr>
      <w:r w:rsidRPr="00DA7CEE">
        <w:rPr>
          <w:sz w:val="24"/>
          <w:szCs w:val="24"/>
        </w:rPr>
        <w:t xml:space="preserve">Motion by Phillips, seconded by Sciarrotta to approve Resolution 2019_06 for establishing a three way </w:t>
      </w:r>
      <w:proofErr w:type="gramStart"/>
      <w:r w:rsidRPr="00DA7CEE">
        <w:rPr>
          <w:sz w:val="24"/>
          <w:szCs w:val="24"/>
        </w:rPr>
        <w:t>stop</w:t>
      </w:r>
      <w:proofErr w:type="gramEnd"/>
      <w:r w:rsidRPr="00DA7CEE">
        <w:rPr>
          <w:sz w:val="24"/>
          <w:szCs w:val="24"/>
        </w:rPr>
        <w:t xml:space="preserve"> at South East Street.  </w:t>
      </w:r>
      <w:proofErr w:type="gramStart"/>
      <w:r w:rsidRPr="00DA7CEE">
        <w:rPr>
          <w:sz w:val="24"/>
          <w:szCs w:val="24"/>
        </w:rPr>
        <w:t>On roll call; Baker, Cannoy, Ostrander, Phillips and Sciarrotta.</w:t>
      </w:r>
      <w:proofErr w:type="gramEnd"/>
      <w:r w:rsidRPr="00DA7CEE">
        <w:rPr>
          <w:sz w:val="24"/>
          <w:szCs w:val="24"/>
        </w:rPr>
        <w:t xml:space="preserve"> Resolution passed.</w:t>
      </w:r>
    </w:p>
    <w:p w:rsidR="00D939B1" w:rsidRPr="00DA7CEE" w:rsidRDefault="00D939B1" w:rsidP="00D939B1">
      <w:pPr>
        <w:ind w:right="2610"/>
        <w:jc w:val="both"/>
        <w:rPr>
          <w:sz w:val="24"/>
          <w:szCs w:val="24"/>
        </w:rPr>
      </w:pPr>
      <w:r w:rsidRPr="00DA7CEE">
        <w:rPr>
          <w:sz w:val="24"/>
          <w:szCs w:val="24"/>
        </w:rPr>
        <w:t xml:space="preserve"> </w:t>
      </w:r>
      <w:proofErr w:type="gramStart"/>
      <w:r w:rsidRPr="00DA7CEE">
        <w:rPr>
          <w:sz w:val="24"/>
          <w:szCs w:val="24"/>
        </w:rPr>
        <w:t xml:space="preserve">Motion by Cannoy, seconded by Phillips to approve the renewal of </w:t>
      </w:r>
      <w:proofErr w:type="spellStart"/>
      <w:r w:rsidRPr="00DA7CEE">
        <w:rPr>
          <w:sz w:val="24"/>
          <w:szCs w:val="24"/>
        </w:rPr>
        <w:t>Umiya</w:t>
      </w:r>
      <w:proofErr w:type="spellEnd"/>
      <w:r w:rsidRPr="00DA7CEE">
        <w:rPr>
          <w:sz w:val="24"/>
          <w:szCs w:val="24"/>
        </w:rPr>
        <w:t xml:space="preserve"> </w:t>
      </w:r>
      <w:proofErr w:type="spellStart"/>
      <w:r w:rsidR="00D05F73" w:rsidRPr="00DA7CEE">
        <w:rPr>
          <w:sz w:val="24"/>
          <w:szCs w:val="24"/>
        </w:rPr>
        <w:t>Foodmart’s</w:t>
      </w:r>
      <w:proofErr w:type="spellEnd"/>
      <w:r w:rsidR="00D05F73" w:rsidRPr="00DA7CEE">
        <w:rPr>
          <w:sz w:val="24"/>
          <w:szCs w:val="24"/>
        </w:rPr>
        <w:t xml:space="preserve"> application</w:t>
      </w:r>
      <w:r w:rsidRPr="00DA7CEE">
        <w:rPr>
          <w:sz w:val="24"/>
          <w:szCs w:val="24"/>
        </w:rPr>
        <w:t xml:space="preserve"> for a liquor license.</w:t>
      </w:r>
      <w:proofErr w:type="gramEnd"/>
      <w:r w:rsidRPr="00DA7CEE">
        <w:rPr>
          <w:sz w:val="24"/>
          <w:szCs w:val="24"/>
        </w:rPr>
        <w:t xml:space="preserve"> All voted yes. Motion carried.</w:t>
      </w:r>
    </w:p>
    <w:p w:rsidR="00D939B1" w:rsidRPr="00DA7CEE" w:rsidRDefault="00D939B1" w:rsidP="00D939B1">
      <w:pPr>
        <w:ind w:right="2610"/>
        <w:jc w:val="both"/>
        <w:rPr>
          <w:sz w:val="24"/>
          <w:szCs w:val="24"/>
        </w:rPr>
      </w:pPr>
      <w:r w:rsidRPr="00DA7CEE">
        <w:rPr>
          <w:sz w:val="24"/>
          <w:szCs w:val="24"/>
        </w:rPr>
        <w:t xml:space="preserve"> </w:t>
      </w:r>
      <w:proofErr w:type="gramStart"/>
      <w:r w:rsidRPr="00DA7CEE">
        <w:rPr>
          <w:sz w:val="24"/>
          <w:szCs w:val="24"/>
        </w:rPr>
        <w:t>Motion by Sciarrotta seconded by Baker to approve Resolution 2019_09 hiring Greg Palmer as the full time Public Works Director.</w:t>
      </w:r>
      <w:proofErr w:type="gramEnd"/>
      <w:r w:rsidRPr="00DA7CEE">
        <w:rPr>
          <w:sz w:val="24"/>
          <w:szCs w:val="24"/>
        </w:rPr>
        <w:t xml:space="preserve"> </w:t>
      </w:r>
      <w:proofErr w:type="gramStart"/>
      <w:r w:rsidRPr="00DA7CEE">
        <w:rPr>
          <w:sz w:val="24"/>
          <w:szCs w:val="24"/>
        </w:rPr>
        <w:t>On roll call; Ayes-Phillips, Baker, Cannoy, Ostrander and Sciarrotta.</w:t>
      </w:r>
      <w:proofErr w:type="gramEnd"/>
      <w:r w:rsidRPr="00DA7CEE">
        <w:rPr>
          <w:sz w:val="24"/>
          <w:szCs w:val="24"/>
        </w:rPr>
        <w:t xml:space="preserve"> Resolution passed. </w:t>
      </w:r>
    </w:p>
    <w:p w:rsidR="00D939B1" w:rsidRPr="00DA7CEE" w:rsidRDefault="00D939B1" w:rsidP="00D939B1">
      <w:pPr>
        <w:ind w:right="2610"/>
        <w:jc w:val="both"/>
        <w:rPr>
          <w:sz w:val="24"/>
          <w:szCs w:val="24"/>
        </w:rPr>
      </w:pPr>
      <w:proofErr w:type="gramStart"/>
      <w:r w:rsidRPr="00DA7CEE">
        <w:rPr>
          <w:sz w:val="24"/>
          <w:szCs w:val="24"/>
        </w:rPr>
        <w:lastRenderedPageBreak/>
        <w:t>Motion by Phillips seconded by Cannoy to approve Resolution 2019_10 hiring Jacob Burk as the part-time public works employee</w:t>
      </w:r>
      <w:r w:rsidR="00D05F73" w:rsidRPr="00DA7CEE">
        <w:rPr>
          <w:sz w:val="24"/>
          <w:szCs w:val="24"/>
        </w:rPr>
        <w:t xml:space="preserve"> pending background check.</w:t>
      </w:r>
      <w:proofErr w:type="gramEnd"/>
      <w:r w:rsidR="00D05F73" w:rsidRPr="00DA7CEE">
        <w:rPr>
          <w:sz w:val="24"/>
          <w:szCs w:val="24"/>
        </w:rPr>
        <w:t xml:space="preserve"> </w:t>
      </w:r>
      <w:proofErr w:type="gramStart"/>
      <w:r w:rsidR="00D05F73" w:rsidRPr="00DA7CEE">
        <w:rPr>
          <w:sz w:val="24"/>
          <w:szCs w:val="24"/>
        </w:rPr>
        <w:t xml:space="preserve">On roll call; Ayes </w:t>
      </w:r>
      <w:r w:rsidRPr="00DA7CEE">
        <w:rPr>
          <w:sz w:val="24"/>
          <w:szCs w:val="24"/>
        </w:rPr>
        <w:t>Sciarrotta, Baker, Cannoy, Ostrander and Phillips.</w:t>
      </w:r>
      <w:proofErr w:type="gramEnd"/>
      <w:r w:rsidRPr="00DA7CEE">
        <w:rPr>
          <w:sz w:val="24"/>
          <w:szCs w:val="24"/>
        </w:rPr>
        <w:t xml:space="preserve"> Resolution passed. </w:t>
      </w:r>
    </w:p>
    <w:p w:rsidR="00D939B1" w:rsidRPr="00DA7CEE" w:rsidRDefault="00D939B1" w:rsidP="00D939B1">
      <w:pPr>
        <w:ind w:right="2610"/>
        <w:jc w:val="both"/>
        <w:rPr>
          <w:sz w:val="24"/>
          <w:szCs w:val="24"/>
        </w:rPr>
      </w:pPr>
      <w:r w:rsidRPr="00DA7CEE">
        <w:rPr>
          <w:sz w:val="24"/>
          <w:szCs w:val="24"/>
        </w:rPr>
        <w:t xml:space="preserve"> Funds had been budgeted for a city vehicle in the current fiscal year's budget.  A 2019 truck will be purchased as a state bid of approximately $26,500. The expense will be disbursed equally between the following funds; roads, water, sewer and the recycling. A resolution will be prepared after truck is delivered.</w:t>
      </w:r>
    </w:p>
    <w:p w:rsidR="00D939B1" w:rsidRPr="00DA7CEE" w:rsidRDefault="00D939B1" w:rsidP="00D939B1">
      <w:pPr>
        <w:ind w:right="2610"/>
        <w:jc w:val="both"/>
        <w:rPr>
          <w:sz w:val="24"/>
          <w:szCs w:val="24"/>
        </w:rPr>
      </w:pPr>
      <w:proofErr w:type="gramStart"/>
      <w:r w:rsidRPr="00DA7CEE">
        <w:rPr>
          <w:sz w:val="24"/>
          <w:szCs w:val="24"/>
        </w:rPr>
        <w:t>Motion by Sciarrotta, seconded by Ostrander to raise the stipend for health insurance to $600 a month for full time employees.</w:t>
      </w:r>
      <w:proofErr w:type="gramEnd"/>
      <w:r w:rsidRPr="00DA7CEE">
        <w:rPr>
          <w:sz w:val="24"/>
          <w:szCs w:val="24"/>
        </w:rPr>
        <w:t xml:space="preserve"> All voted yes. Motion carried. </w:t>
      </w:r>
    </w:p>
    <w:p w:rsidR="00D939B1" w:rsidRPr="00DA7CEE" w:rsidRDefault="00D939B1" w:rsidP="00D939B1">
      <w:pPr>
        <w:ind w:right="2610"/>
        <w:jc w:val="both"/>
        <w:rPr>
          <w:sz w:val="24"/>
          <w:szCs w:val="24"/>
        </w:rPr>
      </w:pPr>
      <w:r w:rsidRPr="00DA7CEE">
        <w:rPr>
          <w:sz w:val="24"/>
          <w:szCs w:val="24"/>
        </w:rPr>
        <w:t xml:space="preserve">The Clerk will start researching the benefits of a health reimbursement arrangement compared to a stipend for </w:t>
      </w:r>
      <w:r w:rsidR="00D05F73" w:rsidRPr="00DA7CEE">
        <w:rPr>
          <w:sz w:val="24"/>
          <w:szCs w:val="24"/>
        </w:rPr>
        <w:t>employee’s</w:t>
      </w:r>
      <w:r w:rsidRPr="00DA7CEE">
        <w:rPr>
          <w:sz w:val="24"/>
          <w:szCs w:val="24"/>
        </w:rPr>
        <w:t xml:space="preserve"> health insurance.</w:t>
      </w:r>
    </w:p>
    <w:p w:rsidR="00D939B1" w:rsidRPr="00DA7CEE" w:rsidRDefault="00D939B1" w:rsidP="00D939B1">
      <w:pPr>
        <w:ind w:right="2610"/>
        <w:jc w:val="both"/>
        <w:rPr>
          <w:sz w:val="24"/>
          <w:szCs w:val="24"/>
        </w:rPr>
      </w:pPr>
      <w:r w:rsidRPr="00DA7CEE">
        <w:rPr>
          <w:sz w:val="24"/>
          <w:szCs w:val="24"/>
        </w:rPr>
        <w:t>A city-wide letter will go out with the April water bills. The letter will explain the recommendations from the city attorney on how Truro will move forward on the cleanup of junk and junk vehicles within the city limits.</w:t>
      </w:r>
    </w:p>
    <w:p w:rsidR="00D939B1" w:rsidRPr="00DA7CEE" w:rsidRDefault="00D939B1" w:rsidP="00D939B1">
      <w:pPr>
        <w:ind w:right="2610"/>
        <w:jc w:val="both"/>
        <w:rPr>
          <w:sz w:val="24"/>
          <w:szCs w:val="24"/>
        </w:rPr>
      </w:pPr>
      <w:r w:rsidRPr="00DA7CEE">
        <w:rPr>
          <w:sz w:val="24"/>
          <w:szCs w:val="24"/>
        </w:rPr>
        <w:t xml:space="preserve"> The</w:t>
      </w:r>
      <w:r w:rsidR="00D05F73" w:rsidRPr="00DA7CEE">
        <w:rPr>
          <w:sz w:val="24"/>
          <w:szCs w:val="24"/>
        </w:rPr>
        <w:t xml:space="preserve"> pick-up for the city-wide clean-</w:t>
      </w:r>
      <w:r w:rsidRPr="00DA7CEE">
        <w:rPr>
          <w:sz w:val="24"/>
          <w:szCs w:val="24"/>
        </w:rPr>
        <w:t>up will be on April 27th this year.</w:t>
      </w:r>
    </w:p>
    <w:p w:rsidR="00D939B1" w:rsidRPr="00DA7CEE" w:rsidRDefault="00D939B1" w:rsidP="00D939B1">
      <w:pPr>
        <w:ind w:right="2610"/>
        <w:jc w:val="both"/>
        <w:rPr>
          <w:sz w:val="24"/>
          <w:szCs w:val="24"/>
        </w:rPr>
      </w:pPr>
      <w:r w:rsidRPr="00DA7CEE">
        <w:rPr>
          <w:sz w:val="24"/>
          <w:szCs w:val="24"/>
        </w:rPr>
        <w:t xml:space="preserve"> The Council and F&amp;R would like to acknowledge Renee </w:t>
      </w:r>
      <w:proofErr w:type="spellStart"/>
      <w:r w:rsidRPr="00DA7CEE">
        <w:rPr>
          <w:sz w:val="24"/>
          <w:szCs w:val="24"/>
        </w:rPr>
        <w:t>Neddermyer</w:t>
      </w:r>
      <w:proofErr w:type="spellEnd"/>
      <w:r w:rsidRPr="00DA7CEE">
        <w:rPr>
          <w:sz w:val="24"/>
          <w:szCs w:val="24"/>
        </w:rPr>
        <w:t xml:space="preserve"> for a generous donation of a $100 to the F&amp;R. </w:t>
      </w:r>
    </w:p>
    <w:p w:rsidR="00D939B1" w:rsidRPr="00DA7CEE" w:rsidRDefault="00D939B1" w:rsidP="00D939B1">
      <w:pPr>
        <w:ind w:right="2610"/>
        <w:jc w:val="both"/>
        <w:rPr>
          <w:sz w:val="24"/>
          <w:szCs w:val="24"/>
        </w:rPr>
      </w:pPr>
      <w:r w:rsidRPr="00DA7CEE">
        <w:rPr>
          <w:sz w:val="24"/>
          <w:szCs w:val="24"/>
        </w:rPr>
        <w:t xml:space="preserve"> The next regular council meeting will be on Monday, April 4th. </w:t>
      </w:r>
    </w:p>
    <w:p w:rsidR="00D939B1" w:rsidRPr="00DA7CEE" w:rsidRDefault="00D939B1" w:rsidP="00D939B1">
      <w:pPr>
        <w:ind w:right="2610"/>
        <w:jc w:val="both"/>
        <w:rPr>
          <w:sz w:val="24"/>
          <w:szCs w:val="24"/>
        </w:rPr>
      </w:pPr>
      <w:r w:rsidRPr="00DA7CEE">
        <w:rPr>
          <w:sz w:val="24"/>
          <w:szCs w:val="24"/>
        </w:rPr>
        <w:t xml:space="preserve"> </w:t>
      </w:r>
      <w:proofErr w:type="gramStart"/>
      <w:r w:rsidRPr="00DA7CEE">
        <w:rPr>
          <w:sz w:val="24"/>
          <w:szCs w:val="24"/>
        </w:rPr>
        <w:t>Motion by Phillips, seconded by Sciarrotta to approve the minutes for February.</w:t>
      </w:r>
      <w:proofErr w:type="gramEnd"/>
      <w:r w:rsidRPr="00DA7CEE">
        <w:rPr>
          <w:sz w:val="24"/>
          <w:szCs w:val="24"/>
        </w:rPr>
        <w:t xml:space="preserve"> Motion carried.</w:t>
      </w:r>
    </w:p>
    <w:p w:rsidR="00D939B1" w:rsidRPr="00DA7CEE" w:rsidRDefault="00D939B1" w:rsidP="00D939B1">
      <w:pPr>
        <w:ind w:right="2610"/>
        <w:jc w:val="both"/>
        <w:rPr>
          <w:sz w:val="24"/>
          <w:szCs w:val="24"/>
        </w:rPr>
      </w:pPr>
      <w:r w:rsidRPr="00DA7CEE">
        <w:rPr>
          <w:sz w:val="24"/>
          <w:szCs w:val="24"/>
        </w:rPr>
        <w:t xml:space="preserve"> </w:t>
      </w:r>
      <w:proofErr w:type="gramStart"/>
      <w:r w:rsidRPr="00DA7CEE">
        <w:rPr>
          <w:sz w:val="24"/>
          <w:szCs w:val="24"/>
        </w:rPr>
        <w:t>Motion by Sciarrotta, seconded by Phillips, to approve the Treasurers Report.</w:t>
      </w:r>
      <w:proofErr w:type="gramEnd"/>
      <w:r w:rsidRPr="00DA7CEE">
        <w:rPr>
          <w:sz w:val="24"/>
          <w:szCs w:val="24"/>
        </w:rPr>
        <w:t xml:space="preserve"> Motion carried.</w:t>
      </w:r>
    </w:p>
    <w:tbl>
      <w:tblPr>
        <w:tblW w:w="6734" w:type="dxa"/>
        <w:tblLook w:val="04A0" w:firstRow="1" w:lastRow="0" w:firstColumn="1" w:lastColumn="0" w:noHBand="0" w:noVBand="1"/>
      </w:tblPr>
      <w:tblGrid>
        <w:gridCol w:w="2520"/>
        <w:gridCol w:w="2909"/>
        <w:gridCol w:w="1305"/>
      </w:tblGrid>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Alliant Energy</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Electric</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4257.94</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Nancy Phillips</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Deposit refund </w:t>
            </w:r>
            <w:proofErr w:type="spellStart"/>
            <w:r w:rsidRPr="00DA7CEE">
              <w:rPr>
                <w:color w:val="000000"/>
                <w:sz w:val="24"/>
                <w:szCs w:val="24"/>
              </w:rPr>
              <w:t>sm</w:t>
            </w:r>
            <w:proofErr w:type="spellEnd"/>
            <w:r w:rsidRPr="00DA7CEE">
              <w:rPr>
                <w:color w:val="000000"/>
                <w:sz w:val="24"/>
                <w:szCs w:val="24"/>
              </w:rPr>
              <w:t>/</w:t>
            </w:r>
            <w:proofErr w:type="spellStart"/>
            <w:r w:rsidRPr="00DA7CEE">
              <w:rPr>
                <w:color w:val="000000"/>
                <w:sz w:val="24"/>
                <w:szCs w:val="24"/>
              </w:rPr>
              <w:t>rm</w:t>
            </w:r>
            <w:proofErr w:type="spellEnd"/>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65.00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Collection Services</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Garnishment</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292.52</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Airgas USA</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Oxygen tank rental</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7.75</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Ala/</w:t>
            </w:r>
            <w:proofErr w:type="spellStart"/>
            <w:r w:rsidRPr="00DA7CEE">
              <w:rPr>
                <w:color w:val="000000"/>
                <w:sz w:val="24"/>
                <w:szCs w:val="24"/>
              </w:rPr>
              <w:t>Lita</w:t>
            </w:r>
            <w:proofErr w:type="spellEnd"/>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Library training</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100.00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Annie's Attic</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Books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19.94</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Automatic Systems</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Lagoon service call</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1334.00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Baker &amp; Taylor</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 Books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143.12</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City of Truro </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Utilities </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180.60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EMS Billing</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Rescue billing</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103.47</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First Card</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Postage/Supplies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148.93</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Herman Welding</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Fabrication</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175.00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State Hygienic Lab</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Water/Sewer testing</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313.00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Iowa </w:t>
            </w:r>
            <w:proofErr w:type="spellStart"/>
            <w:r w:rsidRPr="00DA7CEE">
              <w:rPr>
                <w:color w:val="000000"/>
                <w:sz w:val="24"/>
                <w:szCs w:val="24"/>
              </w:rPr>
              <w:t>Assoc</w:t>
            </w:r>
            <w:proofErr w:type="spellEnd"/>
            <w:r w:rsidRPr="00DA7CEE">
              <w:rPr>
                <w:color w:val="000000"/>
                <w:sz w:val="24"/>
                <w:szCs w:val="24"/>
              </w:rPr>
              <w:t xml:space="preserve"> </w:t>
            </w:r>
            <w:proofErr w:type="spellStart"/>
            <w:r w:rsidRPr="00DA7CEE">
              <w:rPr>
                <w:color w:val="000000"/>
                <w:sz w:val="24"/>
                <w:szCs w:val="24"/>
              </w:rPr>
              <w:t>Munc</w:t>
            </w:r>
            <w:proofErr w:type="spellEnd"/>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Annual Dues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572.00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Iowa Prison Ind.</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Golf stickers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32.50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J&amp;L Sanitation</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Garbage Services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40.00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lastRenderedPageBreak/>
              <w:t>Jordon/Walt/Smith</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Legal</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218.75</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Marilyn Kirkpatrick</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Lagoon Services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34.80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Menards </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Supplies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318.91</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Office Depot</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Supplies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153.46</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Omnitel</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Telephone/fax</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284.65</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Osceola Farm/home</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Supplies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97.91</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Our Iowa</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Magazine renewal</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34.98</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Strauss</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Duplicate keys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28.00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Stephanie Good </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Deposit Refund </w:t>
            </w:r>
            <w:proofErr w:type="spellStart"/>
            <w:r w:rsidRPr="00DA7CEE">
              <w:rPr>
                <w:color w:val="000000"/>
                <w:sz w:val="24"/>
                <w:szCs w:val="24"/>
              </w:rPr>
              <w:t>sm</w:t>
            </w:r>
            <w:proofErr w:type="spellEnd"/>
            <w:r w:rsidRPr="00DA7CEE">
              <w:rPr>
                <w:color w:val="000000"/>
                <w:sz w:val="24"/>
                <w:szCs w:val="24"/>
              </w:rPr>
              <w:t>/</w:t>
            </w:r>
            <w:proofErr w:type="spellStart"/>
            <w:r w:rsidRPr="00DA7CEE">
              <w:rPr>
                <w:color w:val="000000"/>
                <w:sz w:val="24"/>
                <w:szCs w:val="24"/>
              </w:rPr>
              <w:t>rm</w:t>
            </w:r>
            <w:proofErr w:type="spellEnd"/>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65.00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SWCC</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On-line training F&amp;R</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80.00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The Shopper</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Want ad</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90.90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U.S. Cellular</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Phones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84.91</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Warren Water </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Operating Supplies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2808.40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proofErr w:type="spellStart"/>
            <w:r w:rsidRPr="00DA7CEE">
              <w:rPr>
                <w:color w:val="000000"/>
                <w:sz w:val="24"/>
                <w:szCs w:val="24"/>
              </w:rPr>
              <w:t>Wex</w:t>
            </w:r>
            <w:proofErr w:type="spellEnd"/>
            <w:r w:rsidRPr="00DA7CEE">
              <w:rPr>
                <w:color w:val="000000"/>
                <w:sz w:val="24"/>
                <w:szCs w:val="24"/>
              </w:rPr>
              <w:t xml:space="preserve"> Bank</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 xml:space="preserve">Fuel </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373.17</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Winterset Madison</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Publications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153.20</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Department of Treasury</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FICA</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781.19</w:t>
            </w:r>
          </w:p>
        </w:tc>
      </w:tr>
      <w:tr w:rsidR="00017DA7" w:rsidRPr="00DA7CEE" w:rsidTr="00017DA7">
        <w:trPr>
          <w:trHeight w:val="300"/>
        </w:trPr>
        <w:tc>
          <w:tcPr>
            <w:tcW w:w="2520" w:type="dxa"/>
            <w:noWrap/>
            <w:vAlign w:val="bottom"/>
            <w:hideMark/>
          </w:tcPr>
          <w:p w:rsidR="00017DA7" w:rsidRPr="00DA7CEE" w:rsidRDefault="00017DA7">
            <w:pPr>
              <w:spacing w:line="276" w:lineRule="auto"/>
              <w:rPr>
                <w:color w:val="000000"/>
                <w:sz w:val="24"/>
                <w:szCs w:val="24"/>
              </w:rPr>
            </w:pPr>
            <w:r w:rsidRPr="00DA7CEE">
              <w:rPr>
                <w:color w:val="000000"/>
                <w:sz w:val="24"/>
                <w:szCs w:val="24"/>
              </w:rPr>
              <w:t>IPERS</w:t>
            </w:r>
          </w:p>
        </w:tc>
        <w:tc>
          <w:tcPr>
            <w:tcW w:w="2909" w:type="dxa"/>
            <w:noWrap/>
            <w:vAlign w:val="bottom"/>
            <w:hideMark/>
          </w:tcPr>
          <w:p w:rsidR="00017DA7" w:rsidRPr="00DA7CEE" w:rsidRDefault="00017DA7">
            <w:pPr>
              <w:spacing w:line="276" w:lineRule="auto"/>
              <w:rPr>
                <w:color w:val="000000"/>
                <w:sz w:val="24"/>
                <w:szCs w:val="24"/>
              </w:rPr>
            </w:pPr>
            <w:r w:rsidRPr="00DA7CEE">
              <w:rPr>
                <w:color w:val="000000"/>
                <w:sz w:val="24"/>
                <w:szCs w:val="24"/>
              </w:rPr>
              <w:t>Benefits</w:t>
            </w:r>
          </w:p>
        </w:tc>
        <w:tc>
          <w:tcPr>
            <w:tcW w:w="1305" w:type="dxa"/>
            <w:noWrap/>
            <w:vAlign w:val="bottom"/>
            <w:hideMark/>
          </w:tcPr>
          <w:p w:rsidR="00017DA7" w:rsidRPr="00DA7CEE" w:rsidRDefault="00017DA7">
            <w:pPr>
              <w:spacing w:line="276" w:lineRule="auto"/>
              <w:jc w:val="right"/>
              <w:rPr>
                <w:color w:val="000000"/>
                <w:sz w:val="24"/>
                <w:szCs w:val="24"/>
              </w:rPr>
            </w:pPr>
            <w:r w:rsidRPr="00DA7CEE">
              <w:rPr>
                <w:color w:val="000000"/>
                <w:sz w:val="24"/>
                <w:szCs w:val="24"/>
              </w:rPr>
              <w:t>840.85</w:t>
            </w:r>
          </w:p>
        </w:tc>
      </w:tr>
      <w:tr w:rsidR="00017DA7" w:rsidRPr="00DA7CEE" w:rsidTr="00C75396">
        <w:trPr>
          <w:trHeight w:val="432"/>
        </w:trPr>
        <w:tc>
          <w:tcPr>
            <w:tcW w:w="2520" w:type="dxa"/>
            <w:noWrap/>
            <w:vAlign w:val="bottom"/>
            <w:hideMark/>
          </w:tcPr>
          <w:p w:rsidR="00C75396" w:rsidRPr="00DA7CEE" w:rsidRDefault="00C75396">
            <w:pPr>
              <w:spacing w:line="276" w:lineRule="auto"/>
              <w:rPr>
                <w:b/>
                <w:color w:val="000000"/>
                <w:sz w:val="24"/>
                <w:szCs w:val="24"/>
              </w:rPr>
            </w:pPr>
          </w:p>
          <w:p w:rsidR="00C75396" w:rsidRPr="00DA7CEE" w:rsidRDefault="00C75396">
            <w:pPr>
              <w:spacing w:line="276" w:lineRule="auto"/>
              <w:rPr>
                <w:b/>
                <w:color w:val="000000"/>
                <w:sz w:val="24"/>
                <w:szCs w:val="24"/>
              </w:rPr>
            </w:pPr>
            <w:r w:rsidRPr="00DA7CEE">
              <w:rPr>
                <w:b/>
                <w:color w:val="000000"/>
                <w:sz w:val="24"/>
                <w:szCs w:val="24"/>
              </w:rPr>
              <w:t>Payroll 2/15/19    $4,304.65</w:t>
            </w:r>
          </w:p>
          <w:p w:rsidR="00017DA7" w:rsidRPr="00DA7CEE" w:rsidRDefault="00017DA7" w:rsidP="00C75396">
            <w:pPr>
              <w:spacing w:line="276" w:lineRule="auto"/>
              <w:rPr>
                <w:color w:val="000000"/>
                <w:sz w:val="24"/>
                <w:szCs w:val="24"/>
              </w:rPr>
            </w:pPr>
            <w:r w:rsidRPr="00DA7CEE">
              <w:rPr>
                <w:b/>
                <w:color w:val="000000"/>
                <w:sz w:val="24"/>
                <w:szCs w:val="24"/>
              </w:rPr>
              <w:t xml:space="preserve">Payroll </w:t>
            </w:r>
            <w:r w:rsidR="00C75396" w:rsidRPr="00DA7CEE">
              <w:rPr>
                <w:b/>
                <w:color w:val="000000"/>
                <w:sz w:val="24"/>
                <w:szCs w:val="24"/>
              </w:rPr>
              <w:t xml:space="preserve"> 03/09/19  </w:t>
            </w:r>
            <w:r w:rsidRPr="00DA7CEE">
              <w:rPr>
                <w:b/>
                <w:color w:val="000000"/>
                <w:sz w:val="24"/>
                <w:szCs w:val="24"/>
              </w:rPr>
              <w:t xml:space="preserve"> $</w:t>
            </w:r>
            <w:r w:rsidR="00C75396" w:rsidRPr="00DA7CEE">
              <w:rPr>
                <w:b/>
                <w:color w:val="000000"/>
                <w:sz w:val="24"/>
                <w:szCs w:val="24"/>
              </w:rPr>
              <w:t>5,715.57</w:t>
            </w:r>
          </w:p>
        </w:tc>
        <w:tc>
          <w:tcPr>
            <w:tcW w:w="2909" w:type="dxa"/>
            <w:noWrap/>
            <w:vAlign w:val="bottom"/>
            <w:hideMark/>
          </w:tcPr>
          <w:p w:rsidR="00017DA7" w:rsidRPr="00DA7CEE" w:rsidRDefault="00017DA7">
            <w:pPr>
              <w:spacing w:line="276" w:lineRule="auto"/>
              <w:rPr>
                <w:color w:val="000000"/>
                <w:sz w:val="24"/>
                <w:szCs w:val="24"/>
              </w:rPr>
            </w:pPr>
            <w:r w:rsidRPr="00DA7CEE">
              <w:rPr>
                <w:b/>
                <w:color w:val="000000"/>
                <w:sz w:val="24"/>
                <w:szCs w:val="24"/>
              </w:rPr>
              <w:t xml:space="preserve">                             Total </w:t>
            </w:r>
          </w:p>
        </w:tc>
        <w:tc>
          <w:tcPr>
            <w:tcW w:w="1305" w:type="dxa"/>
            <w:noWrap/>
            <w:vAlign w:val="bottom"/>
            <w:hideMark/>
          </w:tcPr>
          <w:p w:rsidR="00017DA7" w:rsidRPr="00DA7CEE" w:rsidRDefault="00C75396">
            <w:pPr>
              <w:spacing w:line="276" w:lineRule="auto"/>
              <w:jc w:val="right"/>
              <w:rPr>
                <w:b/>
                <w:color w:val="000000"/>
                <w:sz w:val="24"/>
                <w:szCs w:val="24"/>
              </w:rPr>
            </w:pPr>
            <w:r w:rsidRPr="00DA7CEE">
              <w:rPr>
                <w:b/>
                <w:color w:val="000000"/>
                <w:sz w:val="24"/>
                <w:szCs w:val="24"/>
              </w:rPr>
              <w:t xml:space="preserve"> 14234.85</w:t>
            </w:r>
          </w:p>
        </w:tc>
      </w:tr>
    </w:tbl>
    <w:p w:rsidR="00DA7CEE" w:rsidRDefault="00D939B1" w:rsidP="00D939B1">
      <w:pPr>
        <w:tabs>
          <w:tab w:val="left" w:pos="180"/>
        </w:tabs>
        <w:ind w:right="2610"/>
        <w:jc w:val="both"/>
        <w:rPr>
          <w:sz w:val="24"/>
          <w:szCs w:val="24"/>
        </w:rPr>
      </w:pPr>
      <w:r w:rsidRPr="00DA7CEE">
        <w:rPr>
          <w:sz w:val="24"/>
          <w:szCs w:val="24"/>
        </w:rPr>
        <w:t>Motion by Phillips, seconded by Sciarrotta to pay the Feb. bills    Motion carried.    Meeting adjourned at 8:28 pm.</w:t>
      </w:r>
    </w:p>
    <w:p w:rsidR="00DA7CEE" w:rsidRDefault="00DA7CEE" w:rsidP="00D939B1">
      <w:pPr>
        <w:tabs>
          <w:tab w:val="left" w:pos="180"/>
        </w:tabs>
        <w:ind w:right="2610"/>
        <w:jc w:val="both"/>
        <w:rPr>
          <w:sz w:val="24"/>
          <w:szCs w:val="24"/>
        </w:rPr>
      </w:pPr>
    </w:p>
    <w:p w:rsidR="00DA7CEE" w:rsidRDefault="00DA7CEE" w:rsidP="00D939B1">
      <w:pPr>
        <w:tabs>
          <w:tab w:val="left" w:pos="180"/>
        </w:tabs>
        <w:ind w:right="2610"/>
        <w:jc w:val="both"/>
        <w:rPr>
          <w:sz w:val="24"/>
          <w:szCs w:val="24"/>
        </w:rPr>
      </w:pPr>
      <w:r>
        <w:rPr>
          <w:sz w:val="24"/>
          <w:szCs w:val="24"/>
        </w:rPr>
        <w:t>_____________________</w:t>
      </w:r>
      <w:r>
        <w:rPr>
          <w:sz w:val="24"/>
          <w:szCs w:val="24"/>
        </w:rPr>
        <w:tab/>
      </w:r>
      <w:r>
        <w:rPr>
          <w:sz w:val="24"/>
          <w:szCs w:val="24"/>
        </w:rPr>
        <w:tab/>
        <w:t>_________________________</w:t>
      </w:r>
      <w:bookmarkStart w:id="0" w:name="_GoBack"/>
      <w:bookmarkEnd w:id="0"/>
    </w:p>
    <w:p w:rsidR="00D939B1" w:rsidRPr="00DA7CEE" w:rsidRDefault="003F221D" w:rsidP="00D939B1">
      <w:pPr>
        <w:tabs>
          <w:tab w:val="left" w:pos="180"/>
        </w:tabs>
        <w:ind w:right="2610"/>
        <w:jc w:val="both"/>
        <w:rPr>
          <w:sz w:val="24"/>
          <w:szCs w:val="24"/>
        </w:rPr>
      </w:pPr>
      <w:r w:rsidRPr="00DA7CEE">
        <w:rPr>
          <w:sz w:val="24"/>
          <w:szCs w:val="24"/>
        </w:rPr>
        <w:t xml:space="preserve"> </w:t>
      </w:r>
      <w:r w:rsidR="00D939B1" w:rsidRPr="00DA7CEE">
        <w:rPr>
          <w:sz w:val="24"/>
          <w:szCs w:val="24"/>
        </w:rPr>
        <w:t xml:space="preserve">Sarah Darst, Mayor                        Attested: Patty </w:t>
      </w:r>
      <w:proofErr w:type="gramStart"/>
      <w:r w:rsidR="00D939B1" w:rsidRPr="00DA7CEE">
        <w:rPr>
          <w:sz w:val="24"/>
          <w:szCs w:val="24"/>
        </w:rPr>
        <w:t>Garner  City</w:t>
      </w:r>
      <w:proofErr w:type="gramEnd"/>
      <w:r w:rsidR="00D939B1" w:rsidRPr="00DA7CEE">
        <w:rPr>
          <w:sz w:val="24"/>
          <w:szCs w:val="24"/>
        </w:rPr>
        <w:t xml:space="preserve"> Clerk</w:t>
      </w:r>
    </w:p>
    <w:p w:rsidR="006274F7" w:rsidRPr="00DA7CEE" w:rsidRDefault="006274F7" w:rsidP="006274F7">
      <w:pPr>
        <w:tabs>
          <w:tab w:val="left" w:pos="180"/>
        </w:tabs>
        <w:ind w:right="2606"/>
        <w:jc w:val="both"/>
        <w:rPr>
          <w:b/>
          <w:sz w:val="24"/>
          <w:szCs w:val="24"/>
        </w:rPr>
      </w:pPr>
      <w:r w:rsidRPr="00DA7CEE">
        <w:rPr>
          <w:b/>
          <w:sz w:val="24"/>
          <w:szCs w:val="24"/>
        </w:rPr>
        <w:t>Truro – Revenue</w:t>
      </w:r>
      <w:r w:rsidR="00E540C1" w:rsidRPr="00DA7CEE">
        <w:rPr>
          <w:b/>
          <w:sz w:val="24"/>
          <w:szCs w:val="24"/>
        </w:rPr>
        <w:t>s</w:t>
      </w:r>
      <w:r w:rsidRPr="00DA7CEE">
        <w:rPr>
          <w:b/>
          <w:sz w:val="24"/>
          <w:szCs w:val="24"/>
        </w:rPr>
        <w:t xml:space="preserve"> </w:t>
      </w:r>
      <w:proofErr w:type="gramStart"/>
      <w:r w:rsidR="00675688" w:rsidRPr="00DA7CEE">
        <w:rPr>
          <w:b/>
          <w:sz w:val="24"/>
          <w:szCs w:val="24"/>
        </w:rPr>
        <w:t>Feb  2019</w:t>
      </w:r>
      <w:proofErr w:type="gramEnd"/>
      <w:r w:rsidRPr="00DA7CEE">
        <w:rPr>
          <w:b/>
          <w:sz w:val="24"/>
          <w:szCs w:val="24"/>
        </w:rPr>
        <w:t xml:space="preserve">        Truro   Expense</w:t>
      </w:r>
      <w:r w:rsidR="00E540C1" w:rsidRPr="00DA7CEE">
        <w:rPr>
          <w:b/>
          <w:sz w:val="24"/>
          <w:szCs w:val="24"/>
        </w:rPr>
        <w:t>s</w:t>
      </w:r>
      <w:r w:rsidRPr="00DA7CEE">
        <w:rPr>
          <w:b/>
          <w:sz w:val="24"/>
          <w:szCs w:val="24"/>
        </w:rPr>
        <w:t xml:space="preserve">- </w:t>
      </w:r>
      <w:r w:rsidR="00675688" w:rsidRPr="00DA7CEE">
        <w:rPr>
          <w:b/>
          <w:sz w:val="24"/>
          <w:szCs w:val="24"/>
        </w:rPr>
        <w:t>Mar</w:t>
      </w:r>
      <w:r w:rsidRPr="00DA7CEE">
        <w:rPr>
          <w:b/>
          <w:sz w:val="24"/>
          <w:szCs w:val="24"/>
        </w:rPr>
        <w:t xml:space="preserve"> 2019</w:t>
      </w:r>
    </w:p>
    <w:tbl>
      <w:tblPr>
        <w:tblW w:w="6781" w:type="dxa"/>
        <w:tblInd w:w="-13" w:type="dxa"/>
        <w:tblLook w:val="04A0" w:firstRow="1" w:lastRow="0" w:firstColumn="1" w:lastColumn="0" w:noHBand="0" w:noVBand="1"/>
      </w:tblPr>
      <w:tblGrid>
        <w:gridCol w:w="1813"/>
        <w:gridCol w:w="1336"/>
        <w:gridCol w:w="290"/>
        <w:gridCol w:w="1606"/>
        <w:gridCol w:w="1736"/>
      </w:tblGrid>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General</w:t>
            </w:r>
          </w:p>
        </w:tc>
        <w:tc>
          <w:tcPr>
            <w:tcW w:w="1336" w:type="dxa"/>
            <w:noWrap/>
            <w:vAlign w:val="bottom"/>
            <w:hideMark/>
          </w:tcPr>
          <w:p w:rsidR="006274F7" w:rsidRPr="00DA7CEE" w:rsidRDefault="00675688" w:rsidP="00174895">
            <w:pPr>
              <w:jc w:val="right"/>
              <w:rPr>
                <w:color w:val="000000"/>
                <w:sz w:val="24"/>
                <w:szCs w:val="24"/>
              </w:rPr>
            </w:pPr>
            <w:r w:rsidRPr="00DA7CEE">
              <w:rPr>
                <w:color w:val="000000"/>
                <w:sz w:val="24"/>
                <w:szCs w:val="24"/>
              </w:rPr>
              <w:t>1952.64</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General</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2843.97</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Community Center</w:t>
            </w:r>
          </w:p>
        </w:tc>
        <w:tc>
          <w:tcPr>
            <w:tcW w:w="1336" w:type="dxa"/>
            <w:noWrap/>
            <w:vAlign w:val="bottom"/>
            <w:hideMark/>
          </w:tcPr>
          <w:p w:rsidR="006274F7" w:rsidRPr="00DA7CEE" w:rsidRDefault="00675688" w:rsidP="00174895">
            <w:pPr>
              <w:jc w:val="right"/>
              <w:rPr>
                <w:color w:val="000000"/>
                <w:sz w:val="24"/>
                <w:szCs w:val="24"/>
              </w:rPr>
            </w:pPr>
            <w:r w:rsidRPr="00DA7CEE">
              <w:rPr>
                <w:color w:val="000000"/>
                <w:sz w:val="24"/>
                <w:szCs w:val="24"/>
              </w:rPr>
              <w:t>260.00</w:t>
            </w:r>
          </w:p>
        </w:tc>
        <w:tc>
          <w:tcPr>
            <w:tcW w:w="290" w:type="dxa"/>
          </w:tcPr>
          <w:p w:rsidR="006274F7" w:rsidRPr="00DA7CEE" w:rsidRDefault="006274F7" w:rsidP="00174895">
            <w:pPr>
              <w:rPr>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Community Center</w:t>
            </w:r>
          </w:p>
        </w:tc>
        <w:tc>
          <w:tcPr>
            <w:tcW w:w="1736" w:type="dxa"/>
            <w:noWrap/>
            <w:vAlign w:val="bottom"/>
            <w:hideMark/>
          </w:tcPr>
          <w:p w:rsidR="006274F7" w:rsidRPr="00DA7CEE" w:rsidRDefault="00675688" w:rsidP="00174895">
            <w:pPr>
              <w:jc w:val="right"/>
              <w:rPr>
                <w:sz w:val="24"/>
                <w:szCs w:val="24"/>
              </w:rPr>
            </w:pPr>
            <w:r w:rsidRPr="00DA7CEE">
              <w:rPr>
                <w:sz w:val="24"/>
                <w:szCs w:val="24"/>
              </w:rPr>
              <w:t>125.20</w:t>
            </w:r>
            <w:r w:rsidR="006274F7" w:rsidRPr="00DA7CEE">
              <w:rPr>
                <w:sz w:val="24"/>
                <w:szCs w:val="24"/>
              </w:rPr>
              <w:t xml:space="preserve"> </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Road Use Tax</w:t>
            </w:r>
          </w:p>
        </w:tc>
        <w:tc>
          <w:tcPr>
            <w:tcW w:w="1336" w:type="dxa"/>
            <w:noWrap/>
            <w:vAlign w:val="bottom"/>
            <w:hideMark/>
          </w:tcPr>
          <w:p w:rsidR="006274F7" w:rsidRPr="00DA7CEE" w:rsidRDefault="00675688" w:rsidP="00174895">
            <w:pPr>
              <w:jc w:val="right"/>
              <w:rPr>
                <w:sz w:val="24"/>
                <w:szCs w:val="24"/>
              </w:rPr>
            </w:pPr>
            <w:r w:rsidRPr="00DA7CEE">
              <w:rPr>
                <w:sz w:val="24"/>
                <w:szCs w:val="24"/>
              </w:rPr>
              <w:t>3596.18</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Road Use Tax</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2084.46</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Employees Benefits</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54.54</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Employees Benefits</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1636.35</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LOST</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3298.53</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LOST</w:t>
            </w:r>
          </w:p>
        </w:tc>
        <w:tc>
          <w:tcPr>
            <w:tcW w:w="1736" w:type="dxa"/>
            <w:noWrap/>
            <w:vAlign w:val="bottom"/>
            <w:hideMark/>
          </w:tcPr>
          <w:p w:rsidR="006274F7" w:rsidRPr="00DA7CEE" w:rsidRDefault="006274F7" w:rsidP="00174895">
            <w:pPr>
              <w:jc w:val="right"/>
              <w:rPr>
                <w:color w:val="000000"/>
                <w:sz w:val="24"/>
                <w:szCs w:val="24"/>
              </w:rPr>
            </w:pPr>
            <w:r w:rsidRPr="00DA7CEE">
              <w:rPr>
                <w:color w:val="000000"/>
                <w:sz w:val="24"/>
                <w:szCs w:val="24"/>
              </w:rPr>
              <w:t>0</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Debt Service</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32.20</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Debt Service</w:t>
            </w:r>
          </w:p>
        </w:tc>
        <w:tc>
          <w:tcPr>
            <w:tcW w:w="1736" w:type="dxa"/>
            <w:noWrap/>
            <w:vAlign w:val="bottom"/>
            <w:hideMark/>
          </w:tcPr>
          <w:p w:rsidR="006274F7" w:rsidRPr="00DA7CEE" w:rsidRDefault="006274F7" w:rsidP="00174895">
            <w:pPr>
              <w:jc w:val="right"/>
              <w:rPr>
                <w:color w:val="000000"/>
                <w:sz w:val="24"/>
                <w:szCs w:val="24"/>
              </w:rPr>
            </w:pPr>
            <w:r w:rsidRPr="00DA7CEE">
              <w:rPr>
                <w:color w:val="000000"/>
                <w:sz w:val="24"/>
                <w:szCs w:val="24"/>
              </w:rPr>
              <w:t>0</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Water total</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7503.01</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Water</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4886.03</w:t>
            </w: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Sewer Total</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8268.14</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Sewer Total</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5044.20</w:t>
            </w:r>
          </w:p>
        </w:tc>
      </w:tr>
      <w:tr w:rsidR="006274F7" w:rsidRPr="00DA7CEE" w:rsidTr="0046369F">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t>2017 Sewer Project</w:t>
            </w:r>
          </w:p>
        </w:tc>
        <w:tc>
          <w:tcPr>
            <w:tcW w:w="1336" w:type="dxa"/>
            <w:noWrap/>
            <w:vAlign w:val="bottom"/>
            <w:hideMark/>
          </w:tcPr>
          <w:p w:rsidR="006274F7" w:rsidRPr="00DA7CEE" w:rsidRDefault="006274F7" w:rsidP="00174895">
            <w:pPr>
              <w:jc w:val="right"/>
              <w:rPr>
                <w:color w:val="000000"/>
                <w:sz w:val="24"/>
                <w:szCs w:val="24"/>
              </w:rPr>
            </w:pPr>
            <w:r w:rsidRPr="00DA7CEE">
              <w:rPr>
                <w:color w:val="000000"/>
                <w:sz w:val="24"/>
                <w:szCs w:val="24"/>
              </w:rPr>
              <w:t>0</w:t>
            </w:r>
          </w:p>
        </w:tc>
        <w:tc>
          <w:tcPr>
            <w:tcW w:w="290" w:type="dxa"/>
          </w:tcPr>
          <w:p w:rsidR="006274F7" w:rsidRPr="00DA7CEE" w:rsidRDefault="006274F7" w:rsidP="00174895">
            <w:pPr>
              <w:jc w:val="right"/>
              <w:rPr>
                <w:b/>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2017 Sewer Project</w:t>
            </w:r>
          </w:p>
        </w:tc>
        <w:tc>
          <w:tcPr>
            <w:tcW w:w="1736" w:type="dxa"/>
            <w:noWrap/>
            <w:vAlign w:val="bottom"/>
          </w:tcPr>
          <w:p w:rsidR="006274F7" w:rsidRPr="00DA7CEE" w:rsidRDefault="006274F7" w:rsidP="00174895">
            <w:pPr>
              <w:jc w:val="right"/>
              <w:rPr>
                <w:color w:val="000000"/>
                <w:sz w:val="24"/>
                <w:szCs w:val="24"/>
              </w:rPr>
            </w:pPr>
          </w:p>
        </w:tc>
      </w:tr>
      <w:tr w:rsidR="006274F7" w:rsidRPr="00DA7CEE" w:rsidTr="006274F7">
        <w:trPr>
          <w:trHeight w:val="306"/>
        </w:trPr>
        <w:tc>
          <w:tcPr>
            <w:tcW w:w="1813" w:type="dxa"/>
            <w:noWrap/>
            <w:vAlign w:val="bottom"/>
          </w:tcPr>
          <w:p w:rsidR="006274F7" w:rsidRPr="00DA7CEE" w:rsidRDefault="006274F7" w:rsidP="00174895">
            <w:pPr>
              <w:rPr>
                <w:color w:val="000000"/>
                <w:sz w:val="24"/>
                <w:szCs w:val="24"/>
              </w:rPr>
            </w:pPr>
            <w:r w:rsidRPr="00DA7CEE">
              <w:rPr>
                <w:color w:val="000000"/>
                <w:sz w:val="24"/>
                <w:szCs w:val="24"/>
              </w:rPr>
              <w:t xml:space="preserve">Sewer Sinking </w:t>
            </w:r>
            <w:r w:rsidRPr="00DA7CEE">
              <w:rPr>
                <w:color w:val="000000"/>
                <w:sz w:val="24"/>
                <w:szCs w:val="24"/>
              </w:rPr>
              <w:lastRenderedPageBreak/>
              <w:t>Fund</w:t>
            </w:r>
          </w:p>
        </w:tc>
        <w:tc>
          <w:tcPr>
            <w:tcW w:w="1336" w:type="dxa"/>
            <w:noWrap/>
            <w:vAlign w:val="bottom"/>
          </w:tcPr>
          <w:p w:rsidR="006274F7" w:rsidRPr="00DA7CEE" w:rsidRDefault="006274F7" w:rsidP="00174895">
            <w:pPr>
              <w:jc w:val="right"/>
              <w:rPr>
                <w:color w:val="000000"/>
                <w:sz w:val="24"/>
                <w:szCs w:val="24"/>
              </w:rPr>
            </w:pPr>
            <w:r w:rsidRPr="00DA7CEE">
              <w:rPr>
                <w:color w:val="000000"/>
                <w:sz w:val="24"/>
                <w:szCs w:val="24"/>
              </w:rPr>
              <w:lastRenderedPageBreak/>
              <w:t>2271.75</w:t>
            </w:r>
          </w:p>
        </w:tc>
        <w:tc>
          <w:tcPr>
            <w:tcW w:w="290" w:type="dxa"/>
          </w:tcPr>
          <w:p w:rsidR="006274F7" w:rsidRPr="00DA7CEE" w:rsidRDefault="006274F7" w:rsidP="00174895">
            <w:pPr>
              <w:jc w:val="right"/>
              <w:rPr>
                <w:color w:val="000000"/>
                <w:sz w:val="24"/>
                <w:szCs w:val="24"/>
              </w:rPr>
            </w:pPr>
          </w:p>
        </w:tc>
        <w:tc>
          <w:tcPr>
            <w:tcW w:w="1606" w:type="dxa"/>
            <w:vAlign w:val="bottom"/>
          </w:tcPr>
          <w:p w:rsidR="006274F7" w:rsidRPr="00DA7CEE" w:rsidRDefault="006274F7" w:rsidP="00174895">
            <w:pPr>
              <w:rPr>
                <w:color w:val="000000"/>
                <w:sz w:val="24"/>
                <w:szCs w:val="24"/>
              </w:rPr>
            </w:pPr>
          </w:p>
        </w:tc>
        <w:tc>
          <w:tcPr>
            <w:tcW w:w="1736" w:type="dxa"/>
            <w:noWrap/>
            <w:vAlign w:val="bottom"/>
          </w:tcPr>
          <w:p w:rsidR="006274F7" w:rsidRPr="00DA7CEE" w:rsidRDefault="006274F7" w:rsidP="00174895">
            <w:pPr>
              <w:jc w:val="right"/>
              <w:rPr>
                <w:color w:val="000000"/>
                <w:sz w:val="24"/>
                <w:szCs w:val="24"/>
              </w:rPr>
            </w:pPr>
          </w:p>
        </w:tc>
      </w:tr>
      <w:tr w:rsidR="006274F7" w:rsidRPr="00DA7CEE" w:rsidTr="006274F7">
        <w:trPr>
          <w:trHeight w:val="300"/>
        </w:trPr>
        <w:tc>
          <w:tcPr>
            <w:tcW w:w="1813" w:type="dxa"/>
            <w:noWrap/>
            <w:vAlign w:val="bottom"/>
            <w:hideMark/>
          </w:tcPr>
          <w:p w:rsidR="006274F7" w:rsidRPr="00DA7CEE" w:rsidRDefault="006274F7" w:rsidP="00174895">
            <w:pPr>
              <w:rPr>
                <w:color w:val="000000"/>
                <w:sz w:val="24"/>
                <w:szCs w:val="24"/>
              </w:rPr>
            </w:pPr>
            <w:r w:rsidRPr="00DA7CEE">
              <w:rPr>
                <w:color w:val="000000"/>
                <w:sz w:val="24"/>
                <w:szCs w:val="24"/>
              </w:rPr>
              <w:lastRenderedPageBreak/>
              <w:t>Recycling</w:t>
            </w:r>
          </w:p>
        </w:tc>
        <w:tc>
          <w:tcPr>
            <w:tcW w:w="1336" w:type="dxa"/>
            <w:noWrap/>
            <w:vAlign w:val="bottom"/>
            <w:hideMark/>
          </w:tcPr>
          <w:p w:rsidR="006274F7" w:rsidRPr="00DA7CEE" w:rsidRDefault="0046369F" w:rsidP="00174895">
            <w:pPr>
              <w:jc w:val="right"/>
              <w:rPr>
                <w:color w:val="000000"/>
                <w:sz w:val="24"/>
                <w:szCs w:val="24"/>
              </w:rPr>
            </w:pPr>
            <w:r w:rsidRPr="00DA7CEE">
              <w:rPr>
                <w:color w:val="000000"/>
                <w:sz w:val="24"/>
                <w:szCs w:val="24"/>
              </w:rPr>
              <w:t>624.66</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color w:val="000000"/>
                <w:sz w:val="24"/>
                <w:szCs w:val="24"/>
              </w:rPr>
            </w:pPr>
            <w:r w:rsidRPr="00DA7CEE">
              <w:rPr>
                <w:color w:val="000000"/>
                <w:sz w:val="24"/>
                <w:szCs w:val="24"/>
              </w:rPr>
              <w:t>Recycling</w:t>
            </w:r>
          </w:p>
        </w:tc>
        <w:tc>
          <w:tcPr>
            <w:tcW w:w="1736" w:type="dxa"/>
            <w:noWrap/>
            <w:vAlign w:val="bottom"/>
            <w:hideMark/>
          </w:tcPr>
          <w:p w:rsidR="006274F7" w:rsidRPr="00DA7CEE" w:rsidRDefault="00675688" w:rsidP="00174895">
            <w:pPr>
              <w:jc w:val="right"/>
              <w:rPr>
                <w:color w:val="000000"/>
                <w:sz w:val="24"/>
                <w:szCs w:val="24"/>
              </w:rPr>
            </w:pPr>
            <w:r w:rsidRPr="00DA7CEE">
              <w:rPr>
                <w:color w:val="000000"/>
                <w:sz w:val="24"/>
                <w:szCs w:val="24"/>
              </w:rPr>
              <w:t>58.83</w:t>
            </w:r>
          </w:p>
        </w:tc>
      </w:tr>
      <w:tr w:rsidR="006274F7" w:rsidRPr="00DA7CEE" w:rsidTr="006274F7">
        <w:trPr>
          <w:trHeight w:val="324"/>
        </w:trPr>
        <w:tc>
          <w:tcPr>
            <w:tcW w:w="1813" w:type="dxa"/>
            <w:noWrap/>
            <w:vAlign w:val="bottom"/>
            <w:hideMark/>
          </w:tcPr>
          <w:p w:rsidR="006274F7" w:rsidRPr="00DA7CEE" w:rsidRDefault="006274F7" w:rsidP="00174895">
            <w:pPr>
              <w:rPr>
                <w:b/>
                <w:color w:val="000000"/>
                <w:sz w:val="24"/>
                <w:szCs w:val="24"/>
              </w:rPr>
            </w:pPr>
            <w:r w:rsidRPr="00DA7CEE">
              <w:rPr>
                <w:color w:val="000000"/>
                <w:sz w:val="24"/>
                <w:szCs w:val="24"/>
              </w:rPr>
              <w:t xml:space="preserve">                              </w:t>
            </w:r>
            <w:r w:rsidRPr="00DA7CEE">
              <w:rPr>
                <w:b/>
                <w:color w:val="000000"/>
                <w:sz w:val="24"/>
                <w:szCs w:val="24"/>
              </w:rPr>
              <w:t>TOTAL</w:t>
            </w:r>
          </w:p>
        </w:tc>
        <w:tc>
          <w:tcPr>
            <w:tcW w:w="1336" w:type="dxa"/>
            <w:noWrap/>
            <w:vAlign w:val="bottom"/>
            <w:hideMark/>
          </w:tcPr>
          <w:p w:rsidR="006274F7" w:rsidRPr="00DA7CEE" w:rsidRDefault="0046369F" w:rsidP="00174895">
            <w:pPr>
              <w:jc w:val="right"/>
              <w:rPr>
                <w:b/>
                <w:color w:val="000000"/>
                <w:sz w:val="24"/>
                <w:szCs w:val="24"/>
              </w:rPr>
            </w:pPr>
            <w:r w:rsidRPr="00DA7CEE">
              <w:rPr>
                <w:b/>
                <w:color w:val="000000"/>
                <w:sz w:val="24"/>
                <w:szCs w:val="24"/>
              </w:rPr>
              <w:t>27,861.65</w:t>
            </w:r>
          </w:p>
        </w:tc>
        <w:tc>
          <w:tcPr>
            <w:tcW w:w="290" w:type="dxa"/>
          </w:tcPr>
          <w:p w:rsidR="006274F7" w:rsidRPr="00DA7CEE" w:rsidRDefault="006274F7" w:rsidP="00174895">
            <w:pPr>
              <w:jc w:val="right"/>
              <w:rPr>
                <w:color w:val="000000"/>
                <w:sz w:val="24"/>
                <w:szCs w:val="24"/>
              </w:rPr>
            </w:pPr>
          </w:p>
        </w:tc>
        <w:tc>
          <w:tcPr>
            <w:tcW w:w="1606" w:type="dxa"/>
            <w:vAlign w:val="bottom"/>
            <w:hideMark/>
          </w:tcPr>
          <w:p w:rsidR="006274F7" w:rsidRPr="00DA7CEE" w:rsidRDefault="006274F7" w:rsidP="00174895">
            <w:pPr>
              <w:rPr>
                <w:b/>
                <w:color w:val="000000"/>
                <w:sz w:val="24"/>
                <w:szCs w:val="24"/>
              </w:rPr>
            </w:pPr>
            <w:r w:rsidRPr="00DA7CEE">
              <w:rPr>
                <w:color w:val="000000"/>
                <w:sz w:val="24"/>
                <w:szCs w:val="24"/>
              </w:rPr>
              <w:t xml:space="preserve">                              </w:t>
            </w:r>
            <w:r w:rsidRPr="00DA7CEE">
              <w:rPr>
                <w:b/>
                <w:color w:val="000000"/>
                <w:sz w:val="24"/>
                <w:szCs w:val="24"/>
              </w:rPr>
              <w:t>TOTAL</w:t>
            </w:r>
          </w:p>
        </w:tc>
        <w:tc>
          <w:tcPr>
            <w:tcW w:w="1736" w:type="dxa"/>
            <w:noWrap/>
            <w:vAlign w:val="bottom"/>
            <w:hideMark/>
          </w:tcPr>
          <w:p w:rsidR="006274F7" w:rsidRPr="00DA7CEE" w:rsidRDefault="00675688" w:rsidP="00174895">
            <w:pPr>
              <w:jc w:val="right"/>
              <w:rPr>
                <w:b/>
                <w:color w:val="000000"/>
                <w:sz w:val="24"/>
                <w:szCs w:val="24"/>
              </w:rPr>
            </w:pPr>
            <w:r w:rsidRPr="00DA7CEE">
              <w:rPr>
                <w:b/>
                <w:color w:val="000000"/>
                <w:sz w:val="24"/>
                <w:szCs w:val="24"/>
              </w:rPr>
              <w:t>16,679.04</w:t>
            </w:r>
          </w:p>
        </w:tc>
      </w:tr>
    </w:tbl>
    <w:p w:rsidR="006274F7" w:rsidRPr="00DA7CEE" w:rsidRDefault="006274F7" w:rsidP="006274F7">
      <w:pPr>
        <w:tabs>
          <w:tab w:val="left" w:pos="180"/>
        </w:tabs>
        <w:ind w:right="2610"/>
        <w:jc w:val="both"/>
        <w:rPr>
          <w:sz w:val="24"/>
          <w:szCs w:val="24"/>
        </w:rPr>
      </w:pPr>
      <w:r w:rsidRPr="00DA7CEE">
        <w:rPr>
          <w:sz w:val="24"/>
          <w:szCs w:val="24"/>
        </w:rPr>
        <w:t xml:space="preserve"> </w:t>
      </w:r>
    </w:p>
    <w:p w:rsidR="00463892" w:rsidRPr="006274F7" w:rsidRDefault="00463892">
      <w:pPr>
        <w:rPr>
          <w:sz w:val="28"/>
          <w:szCs w:val="28"/>
        </w:rPr>
      </w:pPr>
    </w:p>
    <w:sectPr w:rsidR="00463892" w:rsidRPr="006274F7" w:rsidSect="0046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B1"/>
    <w:rsid w:val="00017DA7"/>
    <w:rsid w:val="0030068C"/>
    <w:rsid w:val="003F221D"/>
    <w:rsid w:val="0046369F"/>
    <w:rsid w:val="00463892"/>
    <w:rsid w:val="006274F7"/>
    <w:rsid w:val="00675688"/>
    <w:rsid w:val="0073226C"/>
    <w:rsid w:val="007345D5"/>
    <w:rsid w:val="008E2183"/>
    <w:rsid w:val="00C75396"/>
    <w:rsid w:val="00CA794A"/>
    <w:rsid w:val="00D05F73"/>
    <w:rsid w:val="00D939B1"/>
    <w:rsid w:val="00DA7CEE"/>
    <w:rsid w:val="00E023A1"/>
    <w:rsid w:val="00E5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9B1"/>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D939B1"/>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F221D"/>
    <w:rPr>
      <w:rFonts w:ascii="Tahoma" w:hAnsi="Tahoma" w:cs="Tahoma"/>
      <w:sz w:val="16"/>
      <w:szCs w:val="16"/>
    </w:rPr>
  </w:style>
  <w:style w:type="character" w:customStyle="1" w:styleId="BalloonTextChar">
    <w:name w:val="Balloon Text Char"/>
    <w:basedOn w:val="DefaultParagraphFont"/>
    <w:link w:val="BalloonText"/>
    <w:uiPriority w:val="99"/>
    <w:semiHidden/>
    <w:rsid w:val="003F22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9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39B1"/>
    <w:pPr>
      <w:tabs>
        <w:tab w:val="left" w:pos="180"/>
      </w:tabs>
      <w:ind w:right="2610"/>
      <w:jc w:val="center"/>
    </w:pPr>
    <w:rPr>
      <w:rFonts w:ascii="Bookman Old Style" w:hAnsi="Bookman Old Style"/>
      <w:sz w:val="24"/>
    </w:rPr>
  </w:style>
  <w:style w:type="character" w:customStyle="1" w:styleId="TitleChar">
    <w:name w:val="Title Char"/>
    <w:basedOn w:val="DefaultParagraphFont"/>
    <w:link w:val="Title"/>
    <w:rsid w:val="00D939B1"/>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F221D"/>
    <w:rPr>
      <w:rFonts w:ascii="Tahoma" w:hAnsi="Tahoma" w:cs="Tahoma"/>
      <w:sz w:val="16"/>
      <w:szCs w:val="16"/>
    </w:rPr>
  </w:style>
  <w:style w:type="character" w:customStyle="1" w:styleId="BalloonTextChar">
    <w:name w:val="Balloon Text Char"/>
    <w:basedOn w:val="DefaultParagraphFont"/>
    <w:link w:val="BalloonText"/>
    <w:uiPriority w:val="99"/>
    <w:semiHidden/>
    <w:rsid w:val="003F22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User</cp:lastModifiedBy>
  <cp:revision>3</cp:revision>
  <cp:lastPrinted>2019-03-11T17:33:00Z</cp:lastPrinted>
  <dcterms:created xsi:type="dcterms:W3CDTF">2019-03-11T17:36:00Z</dcterms:created>
  <dcterms:modified xsi:type="dcterms:W3CDTF">2019-03-11T17:37:00Z</dcterms:modified>
</cp:coreProperties>
</file>